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68e3079da24ec1" /></Relationships>
</file>

<file path=word/document.xml><?xml version="1.0" encoding="utf-8"?>
<w:document xmlns:w="http://schemas.openxmlformats.org/wordprocessingml/2006/main">
  <w:body>
    <w:tbl>
      <w:tblPr>
        <w:tblW w:w="9000" w:type="dxa"/>
        <w:tblBorders>
          <w:top w:val="nil"/>
          <w:bottom w:val="nil"/>
          <w:left w:val="nil"/>
          <w:right w:val="nil"/>
          <w:insideH w:val="nil"/>
          <w:insideV w:val="nil"/>
        </w:tblBorders>
        <w:tblCellSpacing w:w="60" w:type="dxa"/>
        <w:shd w:val="clear" w:color="auto" w:fill="E7F0F9"/>
      </w:tblPr>
      <w:tblGrid>
        <w:gridCol w:w="1200"/>
        <w:gridCol w:w="4500"/>
      </w:tblGrid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RKP broj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33600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Naziv obveznika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OPĆINA ŠTRIGOVA</w:t>
            </w:r>
          </w:p>
        </w:tc>
      </w:tr>
      <w:tr>
        <w:tc>
          <w:tcPr>
            <w:tcW w:w="1200" w:type="pct"/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rPr>
                <w:b/>
              </w:rPr>
              <w:t xml:space="preserve">Razina</w:t>
            </w:r>
          </w:p>
        </w:tc>
        <w:tc>
          <w:tcPr>
            <w:shd w:val="clear" w:color="auto" w:fill="E7F0F9"/>
          </w:tcPr>
          <w:p>
            <w:pPr>
              <w:spacing w:before="0" w:after="0" w:line="240" w:lineRule="auto"/>
              <w:jc w:val="left"/>
            </w:pPr>
            <w:r>
              <w:t xml:space="preserve">22</w:t>
            </w:r>
          </w:p>
        </w:tc>
      </w:tr>
    </w:tbl>
    <w:p>
      <w:r>
        <w:br/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BILJEŠKE UZ FINANCIJSKE IZVJEŠTAJE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ZA RAZDOBLJE</w:t>
      </w:r>
    </w:p>
    <w:p>
      <w:pPr>
        <w:jc w:val="center"/>
        <w:pStyle w:val="Normal"/>
        <w:spacing w:line="240" w:lineRule="auto"/>
      </w:pPr>
      <w:r>
        <w:rPr>
          <w:b/>
          <w:sz w:val="28"/>
          <w:rFonts w:ascii="Times New Roman" w:hAnsi="Times New Roman"/>
        </w:rPr>
        <w:t xml:space="preserve">I - VI 2026.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prihodima i rashodima, primicima i izdacima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0" w:type="auto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POSLOVANJA (šifre 61+62+63+64+65+66+67+68)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908.442,53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1.460.245,30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160,7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POSLOVANJA (šifre 31+32+34+35+36+37+38)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997.400,65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1.118.645,40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112,2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PRIHODA POSLOVANJA (šifre 6-Z005)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341.599,90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nefinancijske imovine (šifre 71+72+73+74)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33.892,80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nabavu nefinancijske imovine (šifre 41+42+43+44+45)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62.713,36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2.191.210,76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3494,0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OD NEFINANCIJSKE IMOVINE (šifre 4-7)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28.820,56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2.190.881,67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7601,8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Primici od financijske imovine i zaduživanja (šifre 81+82+83+84+85)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1.136.066,91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Izdaci za financijsku imovinu i otplate zajmova (šifre 51+52+53+54+55)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VIŠAK PRIMITAKA OD FINANCIJSKE IMOVINE I ZADUŽIVANJA (šifre 8-5)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X003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1.136.066,91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-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 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MANJAK PRIHODA I PRIMITAKA (šifre Y345-X678)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Y005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117.778,68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713.214,86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605,6</w:t>
            </w:r>
          </w:p>
        </w:tc>
      </w:tr>
    </w:tbl>
    <w:p>
      <w:pPr>
        <w:spacing w:before="0" w:after="0"/>
      </w:pPr>
    </w:p>
    <w:p>
      <w:r>
        <w:t xml:space="preserve">U razdoblju od 01. siječnja do 30. lipnja prihodi poslovanja ostvareni su u iznosu od 1.460.245,30 EUR. Značajnije povećanje prihoda poslovanja ostvareno je u okviru prihoda od poreza zbog rasta plaća. U okviru pomoći od inozemstva i od subjekata unutar općeg proračuna zabilježeno je povećanje zbog uplaćenih sredstava pomoći temeljem ugovora o dodjeli bespovratnih sredstava za projekt koji se financira iz sredstava Mehanizma za oporavak i otpornost za izgradnju matičnog vrtića u naselju Štrigova, a temeljem podnesenih zahtjeva za nadoknadom sredstava. Značajno smanjenje prihoda poslovanja zabilježeno je na prihodima od imovine zbog manjeg prihoda od naknade za eksploataciju energetskih mineralnih sirovina.</w:t>
      </w:r>
    </w:p>
    <w:p>
      <w:r>
        <w:t xml:space="preserve">Rashodi poslovanja u razdoblju od 01. siječnja do 30. lipnja ostvareni su u iznosu od 1.118.645,40 EUR. Najznačajnije povećanje rashoda poslovanja zabilježeno je u okviru tekućih donacija zbog povećanja rashoda za udruge i donaciju Turističkoj zajednici Općine Štrigova, te u okviru kapitalnih pomoći zbog izgradnje pročistača otpadnih voda i kanalizacije naselja Štrigova.</w:t>
      </w:r>
    </w:p>
    <w:p>
      <w:r>
        <w:t xml:space="preserve">Prihodi od prodaje nefinancijske imovine iznose 329,09 EUR i bitno su smanjeni u odnosu na izvještajno razdoblje prethodne godine kada je ostvaren prihod od prodaje zemljišta i poslovnog prostora.</w:t>
      </w:r>
    </w:p>
    <w:p>
      <w:r>
        <w:t xml:space="preserve">Rashodi za nabavui nefinancijske imovine povećani su u odnosu na izvještajno razdoblje prethodne godine zbog izgradnje dječjeg vrtića i Međunarodnog centra kulturne baštine sv. Jeronim.</w:t>
      </w:r>
    </w:p>
    <w:p>
      <w:r>
        <w:t xml:space="preserve">U izvještajnom razdoblju ostvaren je primitak od zaduživanja u iznosu od 1.136.066,91 EUR i to za izgradnju dječjeg vrtića i izgradnju kanalizacije i pročistača otpadnih voda.</w:t>
      </w:r>
    </w:p>
    <w:p>
      <w:r>
        <w:t xml:space="preserve">U izvještajnom razdoblju je ostvaren višak prihoda poslovanja u iznosu od 341.599,90 EUR, manjak prihoda od nefinancijske imovine u iznosu od 2.190.881,67 EUR, višak od financijske imovine i zaduživanja u iznosu od 1.136.066,91 EUR, slijedom čega je na kraju izvještajnog razdobja ostvaren ukupan manjak prihoda i primitaka u iznosu od 713.214,86 EUR.          </w:t>
      </w:r>
    </w:p>
    <w:p>
      <w:r>
        <w:br/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 na dohodak (šifre 6111 do 6116 - 6117 - 6119)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356.792,89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451.695,72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126,6</w:t>
            </w:r>
          </w:p>
        </w:tc>
      </w:tr>
    </w:tbl>
    <w:p>
      <w:pPr>
        <w:spacing w:before="0" w:after="0"/>
      </w:pPr>
    </w:p>
    <w:p>
      <w:r>
        <w:t xml:space="preserve">U izvještajnom razdoblju prihod od poreza na dohodak bilježi povećanje (indeks 126,6) zbog većeg prihoda od poreza na dohodak uslijed povećanja plaća.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Porezi na imovinu (šifre 6131 do 6135)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37.359,44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22.434,03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60,0</w:t>
            </w:r>
          </w:p>
        </w:tc>
      </w:tr>
    </w:tbl>
    <w:p>
      <w:pPr>
        <w:spacing w:before="0" w:after="0"/>
      </w:pPr>
    </w:p>
    <w:p>
      <w:r>
        <w:t xml:space="preserve">Porez na imovinu bilježi smanjenje(indeks 60,0) zbog smanjenja prihoda od poreza na promet nekretnina zbog smanjenih ulaganja u kupnju tj. prodaju nekretnina.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od međunarodnih organizacija te institucija i tijela EU (šifre 6321 do 6324)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3.689,94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je Općini Štrigova kao projektnom partneru uplaćen prihod u sklopu projekta ViGoKul.  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proračunu i izvanproračunskim korisnicima iz drugih proračuna (šifre 6331+6332)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49.636,00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24.958,00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50,3</w:t>
            </w:r>
          </w:p>
        </w:tc>
      </w:tr>
    </w:tbl>
    <w:p>
      <w:pPr>
        <w:spacing w:before="0" w:after="0"/>
      </w:pPr>
    </w:p>
    <w:p>
      <w:r>
        <w:t xml:space="preserve">Pomoći proračunu i izvanproračunskim korisnicima iz drugih proračuna bilježe smanjenje (indeks 50,3) budući da Općina Štrigova od 4. mjeseca više ne dobiva sredstva za fiskalnu održivost dječjih vrtića. 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proračunu i izvanproračunskim korisnicima iz drugih proračuna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47.236,00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24.958,00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52,8</w:t>
            </w:r>
          </w:p>
        </w:tc>
      </w:tr>
    </w:tbl>
    <w:p>
      <w:pPr>
        <w:spacing w:before="0" w:after="0"/>
      </w:pPr>
    </w:p>
    <w:p>
      <w:r>
        <w:t xml:space="preserve">Tekuće pomoći proračunu i izvanproračunskim korisnicima iz drugih proračuna bilježe smanjenje (indeks 52,8) budući da Općina Štrigova od 4. mjeseca više ne dobiva sredstva za fiskalnu održivost dječjih vrtića. 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Tekuće pomoći od izvanproračunskih korisnika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6341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63.398,93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su dobivena sredstva Hrvatskih voda za sanaciju klizišta.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Pomoći temeljem prijenosa EU sredstava (šifre 6381+6382)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496.979,12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su uplaćena bespovratna sredstva temeljem zahtjeva za nadoknadom sredstava odobrena za izgradnju matičnog vrtića u naselju Štrigova.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nefinancijske imovine (šifre 6421 do 6429)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211.583,80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141.122,96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66,7</w:t>
            </w:r>
          </w:p>
        </w:tc>
      </w:tr>
    </w:tbl>
    <w:p>
      <w:pPr>
        <w:spacing w:before="0" w:after="0"/>
      </w:pPr>
    </w:p>
    <w:p>
      <w:r>
        <w:t xml:space="preserve">Prihodi od nefinancijske imovine bilježe smanjenje (indeks 66,7) zbog manjeg prihoda od naknade za eksploataciju energetskih mineralnih sirovina - nafta i plin.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Komunalni doprinosi i naknade (šifre 6531 do 6533)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653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13.669,46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24.504,33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179,3</w:t>
            </w:r>
          </w:p>
        </w:tc>
      </w:tr>
    </w:tbl>
    <w:p>
      <w:pPr>
        <w:spacing w:before="0" w:after="0"/>
      </w:pPr>
    </w:p>
    <w:p>
      <w:r>
        <w:t xml:space="preserve">Povećan je prihod od komunalne naknade i doprinosa (indeks 179,3) zbog većih prihoda od komunalne naknade uslijed provođenja mjera naplate dospjelih potraživanja početkom godine.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Kazne i upravne mjere (šifre 6811 do 6819)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681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260,00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je ostvaren prihod od naplate novčane kazne.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Rashodi za zaposlene (šifre 311+312+313)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90.131,60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109.305,25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121,3</w:t>
            </w:r>
          </w:p>
        </w:tc>
      </w:tr>
    </w:tbl>
    <w:p>
      <w:pPr>
        <w:spacing w:before="0" w:after="0"/>
      </w:pPr>
    </w:p>
    <w:p>
      <w:r>
        <w:t xml:space="preserve">Rashodi za zaposlene bilježe povećanje (indeks 121,3) zbog rasta osnovice za izračun plaća i isplate otpremnine zbog odlaska u mirovinu.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Kamate za primljene kredite i zajmove (šifre 3421 do 3428)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763,79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je knjižen rashod za kamate po dugoročnom kreditu.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nespomenuti financijski rashodi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3434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4.768,72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su sklopljena  tri ugovora o dugoročnom kreditu, temeljem čega je plaćena naknada za obradu zahtjeva.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Kapitalne pomoći (šifre 3861 do 3865)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386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142.442,11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192.095,18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134,9</w:t>
            </w:r>
          </w:p>
        </w:tc>
      </w:tr>
    </w:tbl>
    <w:p>
      <w:pPr>
        <w:spacing w:before="0" w:after="0"/>
      </w:pPr>
    </w:p>
    <w:p>
      <w:r>
        <w:t xml:space="preserve">Kapitalne pomoći povećane su u odnosu na izvještajno razdoblje prethodne godine (indeks 134,9) zbog  izgradnje kanalizacije i pročistača otpadnig voda.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Obračunati prihodi poslovanja - nenaplaćeni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312.621,47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1.423.541,76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455,4</w:t>
            </w:r>
          </w:p>
        </w:tc>
      </w:tr>
    </w:tbl>
    <w:p>
      <w:pPr>
        <w:spacing w:before="0" w:after="0"/>
      </w:pPr>
    </w:p>
    <w:p>
      <w:r>
        <w:t xml:space="preserve">Obračunati prihodi poslovanja su povećani u odnosu na isto razdoblje prethodne godine (indeks 455,4) zbog potraživanja temeljem ugovora o dodjeli bespovratnih sredstava za izgradnju dječjeg vrtića. 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17.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materijalne imovine - prirodnih bogatstava (šifre 7111 do 7113)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15.550,00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U izvještajnom razdoblju prethodne godine je ostvaren prihod od prodaje građevinskog zemljišta, dok u izvještajnom razdoblju tekuće godine po navedenoj osnovi nema prihoda.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18.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Prihodi od prodaje građevinskih objekata (šifre 7211 do 7214)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721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18.342,80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329,09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1,8</w:t>
            </w:r>
          </w:p>
        </w:tc>
      </w:tr>
    </w:tbl>
    <w:p>
      <w:pPr>
        <w:spacing w:before="0" w:after="0"/>
      </w:pPr>
    </w:p>
    <w:p>
      <w:r>
        <w:t xml:space="preserve">Na navedenoj poziciji je zabilježeno smanjenje u odnosu na izvještajno razdoblje prethodne godine (indeks 1,8) zbog prodaje poslovnog prostora u centru Štrigove.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19.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Poslovni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4212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30.750,00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1.984.078,11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6452,3</w:t>
            </w:r>
          </w:p>
        </w:tc>
      </w:tr>
    </w:tbl>
    <w:p>
      <w:pPr>
        <w:spacing w:before="0" w:after="0"/>
      </w:pPr>
    </w:p>
    <w:p>
      <w:r>
        <w:t xml:space="preserve">Na stavci građevinski objekti zabilježeno je značajno povećanje zbog izgradnje matičnog vrtića u naselju Štrigova.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20.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Ceste, željeznice i ostali prometni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54.823,19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su izvršeni rashodi modernizacije nerazvrstanih cesta.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21.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Ostali građevinski objekti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4214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17.331,38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136.864,33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789,7</w:t>
            </w:r>
          </w:p>
        </w:tc>
      </w:tr>
    </w:tbl>
    <w:p>
      <w:pPr>
        <w:spacing w:before="0" w:after="0"/>
      </w:pPr>
    </w:p>
    <w:p>
      <w:r>
        <w:t xml:space="preserve">U izvještajnom razdoblju su započeli radovi na izgradnji Međunarodnog centra kulturne baštine sv. Jeronim.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22.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Oprema za održavanje i zaštitu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4223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9.558,50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</w:t>
            </w:r>
          </w:p>
        </w:tc>
      </w:tr>
    </w:tbl>
    <w:p>
      <w:pPr>
        <w:spacing w:before="0" w:after="0"/>
      </w:pPr>
    </w:p>
    <w:p>
      <w:r>
        <w:t xml:space="preserve">U izvještajnom razdoblju nije bilo potrebe za nabavom opreme za održavanje i zaštitu.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23.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Ostala nematerijalna proizvedena imovina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4264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12.950,00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je izrađena strategija zelene urbane opreme.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24.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prethodne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Ostvareno u izvještajnom razdoblju tekuće godine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Primljeni krediti od tuzemnih kreditnih institucija izvan javnog sektora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8443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0,00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1.136.066,91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U izvještajnom razdoblju ostvaren je primitak od zaduživanja u iznosu od 1.136.066,91 EUR na temelju tri sklopljena ugovora o dugoročnom kreditu namijenjena za izgradnju matičnog vrtića u naselju Štrigova, izgradnju kanalizacije i pročistača otpadnih voda i izgradnju Međunarodnog centra kulturne baštine sv. Jeronim.       </w:t>
      </w:r>
    </w:p>
    <w:p/>
    <w:p>
      <w:pPr>
        <w:jc w:val="center"/>
        <w:pStyle w:val="Normal"/>
        <w:spacing w:line="240" w:lineRule="auto"/>
        <w:keepNext/>
      </w:pPr>
      <w:r>
        <w:rPr>
          <w:b/>
          <w:sz w:val="28"/>
          <w:rFonts w:ascii="Times New Roman" w:hAnsi="Times New Roman"/>
        </w:rPr>
        <w:t xml:space="preserve">Izvještaj o obvezama</w:t>
      </w:r>
    </w:p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25.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dospjelih obveza na kraju izvještajnog razdoblja (šifre V008+D23+D24 + 'D dio 25,26' + 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V007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154.091,44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Dospjele obveze na dan 30.06.2026. iznose 154.091,44 EUR, a  najvećim se dijelom odnose na tekuće donacije udrugama i obveze za nabavu nefinancijske imovine (rashodi za modernizaciju cesta) koje u izvještajnom razdoblju nisu podmirene zbog financiranja investicija iz vlastitih proračunskih sredstava, a samo dijelom iz kredita. 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26.</w:t>
      </w:r>
    </w:p>
    <w:tbl>
      <w:tblPr>
        <w:tblBorders>
          <w:top w:val="single" w:color="BABABA" w:sz="12"/>
          <w:bottom w:val="single" w:color="BABABA" w:sz="12"/>
          <w:left w:val="single" w:color="BABABA" w:sz="12"/>
          <w:right w:val="single" w:color="BABABA" w:sz="12"/>
          <w:insideH w:val="single" w:color="BABABA" w:sz="8"/>
          <w:insideV w:val="single" w:color="DADADA" w:sz="8"/>
        </w:tblBorders>
        <w:tblW w:w="9000" w:type="dxa"/>
        <w:tblLayout w:type="fixed"/>
        <w:tblCellMar>
          <w:left w:w="40" w:type="dxa"/>
          <w:right w:w="40" w:type="dxa"/>
        </w:tblCellMar>
      </w:tblPr>
      <w:tblGrid>
        <w:gridCol w:w="700"/>
        <w:gridCol w:w="3180"/>
        <w:gridCol w:w="700"/>
        <w:gridCol w:w="1860"/>
        <w:gridCol w:w="700"/>
      </w:tblGrid>
      <w:tr>
        <w:trPr>
          <w:cantSplit/>
        </w:trPr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Račun iz rač. plana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Opis stavke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Šifra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Iznos</w:t>
            </w:r>
          </w:p>
        </w:tc>
        <w:tc>
          <w:tcPr>
            <w:shd w:val="clear" w:color="auto" w:fill="E7F0F9"/>
            <w:tcMar>
              <w:top w:w="0" w:type="dxa"/>
              <w:bottom w:w="0" w:type="dxa"/>
            </w:tcMar>
            <w:vAlign w:val="center"/>
          </w:tcPr>
          <w:p>
            <w:pPr>
              <w:jc w:val="center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  <w:b/>
              </w:rPr>
              <w:t>Indeks (%)</w:t>
            </w:r>
          </w:p>
        </w:tc>
      </w:tr>
      <w:tr>
        <w:trPr>
          <w:trHeight w:val="560" w:hRule="atLeast"/>
          <w:cantSplit/>
        </w:trPr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/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Stanje nedospjelih obveza na kraju izvještajnog razdoblja (šifre V010 + ND23 + ND24 + 'ND dio 25,26' + ND27)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lef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V009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1.516.980,18</w:t>
            </w:r>
          </w:p>
        </w:tc>
        <w:tc>
          <w:tcPr>
            <w:tcMar>
              <w:top w:w="0" w:type="dxa"/>
              <w:bottom w:w="0" w:type="dxa"/>
            </w:tcMar>
            <w:vAlign w:val="center"/>
          </w:tcPr>
          <w:p>
            <w:pPr>
              <w:jc w:val="right"/>
              <w:pStyle w:val="Normal"/>
              <w:spacing w:before="0" w:after="0" w:line="240" w:lineRule="auto"/>
              <w:keepNext/>
              <w:keepLines/>
            </w:pPr>
            <w:r>
              <w:rPr>
                <w:sz w:val="18"/>
                <w:rFonts w:ascii="Times New Roman" w:hAnsi="Times New Roman"/>
              </w:rPr>
              <w:t>-</w:t>
            </w:r>
          </w:p>
        </w:tc>
      </w:tr>
    </w:tbl>
    <w:p>
      <w:pPr>
        <w:spacing w:before="0" w:after="0"/>
      </w:pPr>
    </w:p>
    <w:p>
      <w:r>
        <w:t xml:space="preserve">Nedospjele obveze su značajno veće u odnosu na početak godine zbog dugoročnog zaduženja i obveze prema državnom proračunu za povrat poreza po godišnjem obračunu za 2025. godinu.</w:t>
      </w:r>
    </w:p>
    <w:p/>
    <w:p>
      <w:pPr>
        <w:jc w:val="center"/>
        <w:pStyle w:val="Normal"/>
        <w:spacing w:line="240" w:lineRule="auto"/>
        <w:keepNext/>
      </w:pPr>
      <w:r>
        <w:rPr>
          <w:sz w:val="28"/>
          <w:rFonts w:ascii="Times New Roman" w:hAnsi="Times New Roman"/>
        </w:rPr>
        <w:t xml:space="preserve">Bilješka 27.</w:t>
      </w:r>
    </w:p>
    <w:p>
      <w:pPr>
        <w:jc w:val="both"/>
        <w:pStyle w:val="Normal"/>
        <w:spacing w:line="240" w:lineRule="auto"/>
      </w:pPr>
      <w:r>
        <w:rPr>
          <w:b/>
          <w:sz w:val="24"/>
          <w:rFonts w:ascii="Times New Roman" w:hAnsi="Times New Roman"/>
        </w:rPr>
        <w:t xml:space="preserve">EU izvještaj</w:t>
      </w:r>
    </w:p>
    <w:p>
      <w:r>
        <w:t xml:space="preserve">U izvještajnom razdoblju u okviru izvora financiranja 581 Mehanizam za oporavak i otpornost provedeno je knjiženje prihoda u iznosu od 496.979,12 EUR - uplata sredstava za izgradnju matičnog vrtića u naselju Štrigova temeljem podnesenih zahtjeva za nadoknadom sredstava. U okviru rashoda knjižen je iznos od 549.536,42 EUR, a odnosi se na izgradnju matičnog vrtića u naselju Štrigova. </w:t>
      </w:r>
    </w:p>
    <w:p>
      <w:r>
        <w:t xml:space="preserve">U okviru obraćunatih prihoda poslovanja na zbroju prometa digovne strane knjižen je iznos od 496.979,12 EUR (zatvaranje potraživanja temeljem ZNS-4 i 5 - izgradnja i opremanje matičnog vrtiča u Štrigovi), a na zbroju prometa potražne strane knjižen je iznos od 617.310,57 EUR (potraživanje temeljem ZNS-5 i 6 - izgradnja i opremanje matičnog vrtića u Štrigovi).</w:t>
      </w:r>
    </w:p>
    <w:p>
      <w:r>
        <w:t xml:space="preserve">Potraživanja za kapitalne pomoći temeljem podnesenog ZNS-a na prvi dan izvještajnog razdoblja iznose 147.173,43 EUR, a na zadnji dan izvještajnog razdoblja 267.504,88 EUR.</w:t>
      </w:r>
    </w:p>
    <w:p>
      <w:r>
        <w:t xml:space="preserve">Izvanbilančna evedencija temeljem ugovora o dodejli bespovratnih sredstava za izgradnju matičnog vrtića u naselju Štrigova na prvi dan izvještajnog razdoblja iznosi 617.310,57 EUR, a na zadnji dan 0,00 EUR.</w:t>
      </w:r>
    </w:p>
    <w:p>
      <w:r>
        <w:t xml:space="preserve">U okviru financiranja 565 Europski poljoprivredni fond za ruralni razvoj provedeno je samo knjiženje izvanbilančne evidencije temeljem Odluke o dodjeli sredstava za projekt obnova višenamjenskog igrališta (LAG) u iznosu od 37.882,59 EUR.     </w:t>
      </w:r>
    </w:p>
    <w:p/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</w:rPr>
    </w:rPrDefault>
  </w:docDefaults>
  <w:style w:type="paragraph" w:styleId="Normal" w:default="true">
    <w:name w:val="Normal"/>
    <w:rPr>
      <w:rFonts w:ascii="Times New Roman" w:hAnsi="Times New Roman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d619480f84d4695" /></Relationships>
</file>